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DF" w:rsidRDefault="002A2596" w:rsidP="00FE53DF">
      <w:pPr>
        <w:ind w:left="-1134"/>
        <w:jc w:val="both"/>
        <w:rPr>
          <w:rFonts w:ascii="Arial" w:hAnsi="Arial" w:cs="Arial"/>
          <w:sz w:val="20"/>
          <w:szCs w:val="20"/>
        </w:rPr>
      </w:pPr>
      <w:r w:rsidRPr="00C05A93">
        <w:rPr>
          <w:noProof/>
        </w:rPr>
        <w:drawing>
          <wp:inline distT="0" distB="0" distL="0" distR="0">
            <wp:extent cx="3238500" cy="401799"/>
            <wp:effectExtent l="0" t="0" r="0" b="0"/>
            <wp:docPr id="1" name="Picture 2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18" cy="4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676BCE" w:rsidRDefault="00676BCE" w:rsidP="00CD65E7">
      <w:pPr>
        <w:jc w:val="both"/>
        <w:rPr>
          <w:rFonts w:ascii="Arial" w:hAnsi="Arial" w:cs="Arial"/>
          <w:sz w:val="20"/>
          <w:szCs w:val="20"/>
        </w:rPr>
      </w:pPr>
    </w:p>
    <w:p w:rsidR="00676BCE" w:rsidRDefault="00676BCE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FE53DF" w:rsidRDefault="00FE53DF" w:rsidP="00CD65E7">
      <w:pPr>
        <w:jc w:val="both"/>
        <w:rPr>
          <w:rFonts w:ascii="Arial" w:hAnsi="Arial" w:cs="Arial"/>
          <w:sz w:val="20"/>
          <w:szCs w:val="20"/>
        </w:rPr>
      </w:pPr>
    </w:p>
    <w:p w:rsidR="008C287C" w:rsidRPr="00E95860" w:rsidRDefault="00527047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 xml:space="preserve">La relación de bienes que son de propiedad de FGV o que le han sido cedidos, se ha estructurado en tres bloques, </w:t>
      </w: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</w:p>
    <w:p w:rsidR="004A10B0" w:rsidRPr="00E95860" w:rsidRDefault="004A10B0" w:rsidP="00CD65E7">
      <w:pPr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b/>
          <w:sz w:val="22"/>
          <w:szCs w:val="22"/>
        </w:rPr>
        <w:t>Bienes inmuebles</w:t>
      </w:r>
      <w:r w:rsidR="00C620F8" w:rsidRPr="00E95860">
        <w:rPr>
          <w:rFonts w:ascii="Ebrima" w:hAnsi="Ebrima" w:cs="Arial"/>
          <w:b/>
          <w:sz w:val="22"/>
          <w:szCs w:val="22"/>
        </w:rPr>
        <w:t>.</w:t>
      </w:r>
      <w:r w:rsidR="001505C3" w:rsidRPr="00E95860">
        <w:rPr>
          <w:rFonts w:ascii="Ebrima" w:hAnsi="Ebrima" w:cs="Arial"/>
          <w:b/>
          <w:sz w:val="22"/>
          <w:szCs w:val="22"/>
        </w:rPr>
        <w:t>-</w:t>
      </w:r>
      <w:r w:rsidR="001505C3" w:rsidRPr="00E95860">
        <w:rPr>
          <w:rFonts w:ascii="Ebrima" w:hAnsi="Ebrima" w:cs="Arial"/>
          <w:sz w:val="22"/>
          <w:szCs w:val="22"/>
        </w:rPr>
        <w:t xml:space="preserve"> Terrenos y edificios.</w:t>
      </w:r>
    </w:p>
    <w:p w:rsidR="004A10B0" w:rsidRPr="00E95860" w:rsidRDefault="004A10B0" w:rsidP="00CD65E7">
      <w:pPr>
        <w:numPr>
          <w:ilvl w:val="0"/>
          <w:numId w:val="1"/>
        </w:numPr>
        <w:jc w:val="both"/>
        <w:rPr>
          <w:rFonts w:ascii="Ebrima" w:hAnsi="Ebrima" w:cs="Arial"/>
          <w:b/>
          <w:sz w:val="22"/>
          <w:szCs w:val="22"/>
        </w:rPr>
      </w:pPr>
      <w:r w:rsidRPr="00E95860">
        <w:rPr>
          <w:rFonts w:ascii="Ebrima" w:hAnsi="Ebrima" w:cs="Arial"/>
          <w:b/>
          <w:sz w:val="22"/>
          <w:szCs w:val="22"/>
        </w:rPr>
        <w:t>Bienes especiales</w:t>
      </w:r>
      <w:r w:rsidR="001505C3" w:rsidRPr="00E95860">
        <w:rPr>
          <w:rFonts w:ascii="Ebrima" w:hAnsi="Ebrima" w:cs="Arial"/>
          <w:b/>
          <w:sz w:val="22"/>
          <w:szCs w:val="22"/>
        </w:rPr>
        <w:t>.</w:t>
      </w:r>
      <w:r w:rsidR="001505C3" w:rsidRPr="00E95860">
        <w:rPr>
          <w:rFonts w:ascii="Ebrima" w:hAnsi="Ebrima" w:cs="Arial"/>
          <w:sz w:val="22"/>
          <w:szCs w:val="22"/>
        </w:rPr>
        <w:t>-</w:t>
      </w:r>
      <w:r w:rsidR="00C620F8" w:rsidRPr="00E95860">
        <w:rPr>
          <w:rFonts w:ascii="Ebrima" w:hAnsi="Ebrima" w:cs="Arial"/>
          <w:sz w:val="22"/>
          <w:szCs w:val="22"/>
        </w:rPr>
        <w:t xml:space="preserve"> </w:t>
      </w:r>
      <w:r w:rsidR="001505C3" w:rsidRPr="00E95860">
        <w:rPr>
          <w:rFonts w:ascii="Ebrima" w:hAnsi="Ebrima" w:cs="Arial"/>
          <w:sz w:val="22"/>
          <w:szCs w:val="22"/>
        </w:rPr>
        <w:t>Material histórico y resto de bienes cuyo valor de adquisición es superior a 100.000,-€</w:t>
      </w:r>
    </w:p>
    <w:p w:rsidR="004A10B0" w:rsidRPr="00E95860" w:rsidRDefault="004A10B0" w:rsidP="00CD65E7">
      <w:pPr>
        <w:numPr>
          <w:ilvl w:val="0"/>
          <w:numId w:val="1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b/>
          <w:sz w:val="22"/>
          <w:szCs w:val="22"/>
        </w:rPr>
        <w:t>Inversiones inmobiliarias</w:t>
      </w:r>
      <w:r w:rsidR="001505C3" w:rsidRPr="00E95860">
        <w:rPr>
          <w:rFonts w:ascii="Ebrima" w:hAnsi="Ebrima" w:cs="Arial"/>
          <w:b/>
          <w:sz w:val="22"/>
          <w:szCs w:val="22"/>
        </w:rPr>
        <w:t>.-</w:t>
      </w:r>
      <w:r w:rsidR="001505C3" w:rsidRPr="00E95860">
        <w:rPr>
          <w:rFonts w:ascii="Ebrima" w:hAnsi="Ebrima" w:cs="Arial"/>
          <w:sz w:val="22"/>
          <w:szCs w:val="22"/>
        </w:rPr>
        <w:t xml:space="preserve"> Terrenos y edificios que son inversiones inmobiliarias</w:t>
      </w: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Est</w:t>
      </w:r>
      <w:r w:rsidR="00F828F9" w:rsidRPr="00E95860">
        <w:rPr>
          <w:rFonts w:ascii="Ebrima" w:hAnsi="Ebrima" w:cs="Arial"/>
          <w:sz w:val="22"/>
          <w:szCs w:val="22"/>
        </w:rPr>
        <w:t>o</w:t>
      </w:r>
      <w:r w:rsidRPr="00E95860">
        <w:rPr>
          <w:rFonts w:ascii="Ebrima" w:hAnsi="Ebrima" w:cs="Arial"/>
          <w:sz w:val="22"/>
          <w:szCs w:val="22"/>
        </w:rPr>
        <w:t xml:space="preserve">s tres </w:t>
      </w:r>
      <w:r w:rsidR="00F828F9" w:rsidRPr="00E95860">
        <w:rPr>
          <w:rFonts w:ascii="Ebrima" w:hAnsi="Ebrima" w:cs="Arial"/>
          <w:sz w:val="22"/>
          <w:szCs w:val="22"/>
        </w:rPr>
        <w:t>bloques</w:t>
      </w:r>
      <w:r w:rsidRPr="00E95860">
        <w:rPr>
          <w:rFonts w:ascii="Ebrima" w:hAnsi="Ebrima" w:cs="Arial"/>
          <w:sz w:val="22"/>
          <w:szCs w:val="22"/>
        </w:rPr>
        <w:t xml:space="preserve"> a su vez se han desglosado en dos,</w:t>
      </w: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a) Bienes correspondientes a la provincia de Valencia</w:t>
      </w: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b) Bienes correspondientes a la provincia de Alicante</w:t>
      </w:r>
    </w:p>
    <w:p w:rsidR="004A10B0" w:rsidRPr="00E95860" w:rsidRDefault="004A10B0" w:rsidP="00CD65E7">
      <w:pPr>
        <w:jc w:val="both"/>
        <w:rPr>
          <w:rFonts w:ascii="Ebrima" w:hAnsi="Ebrima" w:cs="Arial"/>
          <w:sz w:val="22"/>
          <w:szCs w:val="22"/>
        </w:rPr>
      </w:pPr>
    </w:p>
    <w:p w:rsidR="00C620F8" w:rsidRPr="00E95860" w:rsidRDefault="00F828F9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Esta relación está compuesta de seis columnas.-</w:t>
      </w:r>
    </w:p>
    <w:p w:rsidR="00F828F9" w:rsidRPr="00E95860" w:rsidRDefault="00F828F9" w:rsidP="00CD65E7">
      <w:pPr>
        <w:jc w:val="both"/>
        <w:rPr>
          <w:rFonts w:ascii="Ebrima" w:hAnsi="Ebrima" w:cs="Arial"/>
          <w:sz w:val="22"/>
          <w:szCs w:val="22"/>
        </w:rPr>
      </w:pP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Cuenta CAP.- Cuenta contable del bien.</w:t>
      </w: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Número activo.- Número que tiene en el inmovilizado de FGV.</w:t>
      </w: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Denominación.- Breve explicación del bien.</w:t>
      </w: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Valor adquisición.- Importe total de la adquisición del bien.</w:t>
      </w: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Amortización acumulada.-Importe de la amortización que se ha realizado hasta la fecha de la relación.</w:t>
      </w:r>
    </w:p>
    <w:p w:rsidR="00F828F9" w:rsidRPr="00E95860" w:rsidRDefault="00F828F9" w:rsidP="00CD65E7">
      <w:pPr>
        <w:numPr>
          <w:ilvl w:val="0"/>
          <w:numId w:val="2"/>
        </w:num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Valor neto contable.- Importe del total de la adquisición deducido el importe del total amortizado hasta la fecha de la relación.</w:t>
      </w:r>
    </w:p>
    <w:p w:rsidR="00F828F9" w:rsidRPr="00E95860" w:rsidRDefault="00F828F9" w:rsidP="00CD65E7">
      <w:pPr>
        <w:jc w:val="both"/>
        <w:rPr>
          <w:rFonts w:ascii="Ebrima" w:hAnsi="Ebrima" w:cs="Arial"/>
          <w:sz w:val="22"/>
          <w:szCs w:val="22"/>
        </w:rPr>
      </w:pPr>
    </w:p>
    <w:p w:rsidR="00F828F9" w:rsidRPr="00E95860" w:rsidRDefault="003A607F" w:rsidP="00CD65E7">
      <w:pPr>
        <w:jc w:val="both"/>
        <w:rPr>
          <w:rFonts w:ascii="Ebrima" w:hAnsi="Ebrima" w:cs="Arial"/>
          <w:sz w:val="22"/>
          <w:szCs w:val="22"/>
        </w:rPr>
      </w:pPr>
      <w:r w:rsidRPr="00E95860">
        <w:rPr>
          <w:rFonts w:ascii="Ebrima" w:hAnsi="Ebrima" w:cs="Arial"/>
          <w:sz w:val="22"/>
          <w:szCs w:val="22"/>
        </w:rPr>
        <w:t>Se anex</w:t>
      </w:r>
      <w:r w:rsidR="00FE53DF" w:rsidRPr="00E95860">
        <w:rPr>
          <w:rFonts w:ascii="Ebrima" w:hAnsi="Ebrima" w:cs="Arial"/>
          <w:sz w:val="22"/>
          <w:szCs w:val="22"/>
        </w:rPr>
        <w:t>a</w:t>
      </w:r>
      <w:r w:rsidRPr="00E95860">
        <w:rPr>
          <w:rFonts w:ascii="Ebrima" w:hAnsi="Ebrima" w:cs="Arial"/>
          <w:sz w:val="22"/>
          <w:szCs w:val="22"/>
        </w:rPr>
        <w:t xml:space="preserve"> resumen de la relación</w:t>
      </w:r>
    </w:p>
    <w:p w:rsidR="001505C3" w:rsidRPr="00E95860" w:rsidRDefault="001505C3" w:rsidP="00CD65E7">
      <w:pPr>
        <w:jc w:val="both"/>
        <w:rPr>
          <w:rFonts w:ascii="Ebrima" w:hAnsi="Ebrima" w:cs="Arial"/>
          <w:sz w:val="22"/>
          <w:szCs w:val="22"/>
        </w:rPr>
      </w:pPr>
    </w:p>
    <w:sectPr w:rsidR="001505C3" w:rsidRPr="00E95860" w:rsidSect="00FE53D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5F8"/>
    <w:multiLevelType w:val="hybridMultilevel"/>
    <w:tmpl w:val="DC48488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11A94"/>
    <w:multiLevelType w:val="hybridMultilevel"/>
    <w:tmpl w:val="79449A2E"/>
    <w:lvl w:ilvl="0" w:tplc="3B9E9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B0"/>
    <w:rsid w:val="00017CA4"/>
    <w:rsid w:val="001505C3"/>
    <w:rsid w:val="002A2596"/>
    <w:rsid w:val="002C788A"/>
    <w:rsid w:val="003A607F"/>
    <w:rsid w:val="003B0454"/>
    <w:rsid w:val="004A10B0"/>
    <w:rsid w:val="00527047"/>
    <w:rsid w:val="005341A0"/>
    <w:rsid w:val="00676BCE"/>
    <w:rsid w:val="008C287C"/>
    <w:rsid w:val="00A6517B"/>
    <w:rsid w:val="00C620F8"/>
    <w:rsid w:val="00CD65E7"/>
    <w:rsid w:val="00E95860"/>
    <w:rsid w:val="00F828F9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E8B5-C239-42D4-B2B9-B0BC9D2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6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relación de bienes que son de propiedad de FGV o que le han sido cedidos, se ha estructurado en tres bloques, ,</vt:lpstr>
    </vt:vector>
  </TitlesOfParts>
  <Company>FGV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relación de bienes que son de propiedad de FGV o que le han sido cedidos, se ha estructurado en tres bloques, ,</dc:title>
  <dc:subject/>
  <dc:creator>FGV</dc:creator>
  <cp:keywords/>
  <dc:description/>
  <cp:lastModifiedBy>Tomas Canales Lara</cp:lastModifiedBy>
  <cp:revision>2</cp:revision>
  <cp:lastPrinted>2014-11-05T11:07:00Z</cp:lastPrinted>
  <dcterms:created xsi:type="dcterms:W3CDTF">2022-04-04T09:58:00Z</dcterms:created>
  <dcterms:modified xsi:type="dcterms:W3CDTF">2022-04-04T09:58:00Z</dcterms:modified>
</cp:coreProperties>
</file>